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82" w:rsidRPr="00D54E8E" w:rsidRDefault="00D90582" w:rsidP="00D90582">
      <w:pPr>
        <w:jc w:val="center"/>
        <w:rPr>
          <w:rFonts w:ascii="Arial" w:hAnsi="Arial" w:cs="Arial"/>
          <w:b/>
          <w:sz w:val="24"/>
          <w:szCs w:val="24"/>
        </w:rPr>
      </w:pPr>
      <w:r w:rsidRPr="00D54E8E">
        <w:rPr>
          <w:rFonts w:ascii="Arial" w:hAnsi="Arial" w:cs="Arial"/>
          <w:b/>
          <w:sz w:val="24"/>
          <w:szCs w:val="24"/>
        </w:rPr>
        <w:t>WFU AAUP Faculty Salary Report</w:t>
      </w:r>
      <w:r>
        <w:rPr>
          <w:rFonts w:ascii="Arial" w:hAnsi="Arial" w:cs="Arial"/>
          <w:b/>
          <w:sz w:val="24"/>
          <w:szCs w:val="24"/>
        </w:rPr>
        <w:t xml:space="preserve"> to </w:t>
      </w:r>
      <w:r w:rsidR="00A252F1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>College</w:t>
      </w:r>
    </w:p>
    <w:p w:rsidR="00D90582" w:rsidRPr="00D54E8E" w:rsidRDefault="00D90582" w:rsidP="00D905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9</w:t>
      </w:r>
      <w:r w:rsidRPr="00D54E8E">
        <w:rPr>
          <w:rFonts w:ascii="Arial" w:hAnsi="Arial" w:cs="Arial"/>
          <w:b/>
          <w:sz w:val="24"/>
          <w:szCs w:val="24"/>
        </w:rPr>
        <w:t>, 2018</w:t>
      </w:r>
    </w:p>
    <w:p w:rsidR="00D90582" w:rsidRPr="00D54E8E" w:rsidRDefault="00D90582" w:rsidP="00D90582">
      <w:pPr>
        <w:rPr>
          <w:rFonts w:ascii="Arial" w:hAnsi="Arial" w:cs="Arial"/>
          <w:sz w:val="24"/>
          <w:szCs w:val="24"/>
        </w:rPr>
      </w:pPr>
    </w:p>
    <w:p w:rsidR="00D90582" w:rsidRPr="00441D75" w:rsidRDefault="00D90582" w:rsidP="00D9058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441D75">
        <w:rPr>
          <w:rFonts w:ascii="Arial" w:hAnsi="Arial" w:cs="Arial"/>
          <w:sz w:val="24"/>
          <w:szCs w:val="24"/>
        </w:rPr>
        <w:t>The main focus of the study is to measure changes in University (</w:t>
      </w:r>
      <w:proofErr w:type="spellStart"/>
      <w:r w:rsidRPr="00441D75">
        <w:rPr>
          <w:rFonts w:ascii="Arial" w:hAnsi="Arial" w:cs="Arial"/>
          <w:sz w:val="24"/>
          <w:szCs w:val="24"/>
        </w:rPr>
        <w:t>Reynolda</w:t>
      </w:r>
      <w:proofErr w:type="spellEnd"/>
      <w:r w:rsidRPr="00441D75">
        <w:rPr>
          <w:rFonts w:ascii="Arial" w:hAnsi="Arial" w:cs="Arial"/>
          <w:sz w:val="24"/>
          <w:szCs w:val="24"/>
        </w:rPr>
        <w:t xml:space="preserve"> campus) and College tenure-track and tenured faculty salaries between 2011-12 and 2016-17.  </w:t>
      </w:r>
    </w:p>
    <w:p w:rsidR="00D90582" w:rsidRDefault="00D90582" w:rsidP="00D90582">
      <w:pPr>
        <w:rPr>
          <w:rFonts w:ascii="Arial" w:hAnsi="Arial" w:cs="Arial"/>
          <w:sz w:val="24"/>
          <w:szCs w:val="24"/>
        </w:rPr>
      </w:pPr>
      <w:r w:rsidRPr="00441D75">
        <w:rPr>
          <w:rFonts w:ascii="Arial" w:hAnsi="Arial" w:cs="Arial"/>
          <w:sz w:val="24"/>
          <w:szCs w:val="24"/>
        </w:rPr>
        <w:t xml:space="preserve">The first table presents </w:t>
      </w:r>
      <w:r>
        <w:rPr>
          <w:rFonts w:ascii="Arial" w:hAnsi="Arial" w:cs="Arial"/>
          <w:sz w:val="24"/>
          <w:szCs w:val="24"/>
        </w:rPr>
        <w:t xml:space="preserve">changes in </w:t>
      </w:r>
      <w:r w:rsidRPr="00441D75">
        <w:rPr>
          <w:rFonts w:ascii="Arial" w:hAnsi="Arial" w:cs="Arial"/>
          <w:sz w:val="24"/>
          <w:szCs w:val="24"/>
        </w:rPr>
        <w:t xml:space="preserve">College </w:t>
      </w:r>
      <w:r>
        <w:rPr>
          <w:rFonts w:ascii="Arial" w:hAnsi="Arial" w:cs="Arial"/>
          <w:sz w:val="24"/>
          <w:szCs w:val="24"/>
        </w:rPr>
        <w:t xml:space="preserve">faculty </w:t>
      </w:r>
      <w:r w:rsidRPr="00441D75">
        <w:rPr>
          <w:rFonts w:ascii="Arial" w:hAnsi="Arial" w:cs="Arial"/>
          <w:sz w:val="24"/>
          <w:szCs w:val="24"/>
        </w:rPr>
        <w:t>salaries of Professors, Associate Professors and Assistant Professors</w:t>
      </w:r>
      <w:r>
        <w:rPr>
          <w:rFonts w:ascii="Arial" w:hAnsi="Arial" w:cs="Arial"/>
          <w:sz w:val="24"/>
          <w:szCs w:val="24"/>
        </w:rPr>
        <w:t>,</w:t>
      </w:r>
      <w:r w:rsidRPr="00441D75">
        <w:rPr>
          <w:rFonts w:ascii="Arial" w:hAnsi="Arial" w:cs="Arial"/>
          <w:sz w:val="24"/>
          <w:szCs w:val="24"/>
        </w:rPr>
        <w:t xml:space="preserve"> and changes in the salaries’ purchasing power; the </w:t>
      </w:r>
      <w:r>
        <w:rPr>
          <w:rFonts w:ascii="Arial" w:hAnsi="Arial" w:cs="Arial"/>
          <w:sz w:val="24"/>
          <w:szCs w:val="24"/>
        </w:rPr>
        <w:t>second</w:t>
      </w:r>
      <w:r w:rsidRPr="00441D75">
        <w:rPr>
          <w:rFonts w:ascii="Arial" w:hAnsi="Arial" w:cs="Arial"/>
          <w:sz w:val="24"/>
          <w:szCs w:val="24"/>
        </w:rPr>
        <w:t xml:space="preserve"> compares </w:t>
      </w:r>
      <w:proofErr w:type="spellStart"/>
      <w:r w:rsidRPr="00441D75">
        <w:rPr>
          <w:rFonts w:ascii="Arial" w:hAnsi="Arial" w:cs="Arial"/>
          <w:sz w:val="24"/>
          <w:szCs w:val="24"/>
        </w:rPr>
        <w:t>Reynolda</w:t>
      </w:r>
      <w:proofErr w:type="spellEnd"/>
      <w:r w:rsidRPr="00441D75">
        <w:rPr>
          <w:rFonts w:ascii="Arial" w:hAnsi="Arial" w:cs="Arial"/>
          <w:sz w:val="24"/>
          <w:szCs w:val="24"/>
        </w:rPr>
        <w:t xml:space="preserve"> campus salaries with those of nine cross-admit peers; and, </w:t>
      </w:r>
      <w:r w:rsidR="00A252F1">
        <w:rPr>
          <w:rFonts w:ascii="Arial" w:hAnsi="Arial" w:cs="Arial"/>
          <w:sz w:val="24"/>
          <w:szCs w:val="24"/>
        </w:rPr>
        <w:t>t</w:t>
      </w:r>
      <w:r w:rsidRPr="00441D75">
        <w:rPr>
          <w:rFonts w:ascii="Arial" w:hAnsi="Arial" w:cs="Arial"/>
          <w:sz w:val="24"/>
          <w:szCs w:val="24"/>
        </w:rPr>
        <w:t xml:space="preserve">he last table, provided by the Office </w:t>
      </w:r>
      <w:r>
        <w:rPr>
          <w:rFonts w:ascii="Arial" w:hAnsi="Arial" w:cs="Arial"/>
          <w:sz w:val="24"/>
          <w:szCs w:val="24"/>
        </w:rPr>
        <w:t>o</w:t>
      </w:r>
      <w:r w:rsidRPr="00441D75">
        <w:rPr>
          <w:rFonts w:ascii="Arial" w:hAnsi="Arial" w:cs="Arial"/>
          <w:sz w:val="24"/>
          <w:szCs w:val="24"/>
        </w:rPr>
        <w:t xml:space="preserve">f Institutional Research, compares changes in unadjusted and COL-adjusted salaries from 2015-16 to 2016-17 for the </w:t>
      </w:r>
      <w:proofErr w:type="spellStart"/>
      <w:r w:rsidRPr="00441D75">
        <w:rPr>
          <w:rFonts w:ascii="Arial" w:hAnsi="Arial" w:cs="Arial"/>
          <w:sz w:val="24"/>
          <w:szCs w:val="24"/>
        </w:rPr>
        <w:t>Reynolda</w:t>
      </w:r>
      <w:proofErr w:type="spellEnd"/>
      <w:r w:rsidRPr="00441D75">
        <w:rPr>
          <w:rFonts w:ascii="Arial" w:hAnsi="Arial" w:cs="Arial"/>
          <w:sz w:val="24"/>
          <w:szCs w:val="24"/>
        </w:rPr>
        <w:t xml:space="preserve"> campus and the cross-admit peers</w:t>
      </w:r>
      <w:r>
        <w:rPr>
          <w:rFonts w:ascii="Arial" w:hAnsi="Arial" w:cs="Arial"/>
          <w:sz w:val="24"/>
          <w:szCs w:val="24"/>
        </w:rPr>
        <w:t>.</w:t>
      </w:r>
    </w:p>
    <w:p w:rsidR="00D90582" w:rsidRPr="00441D75" w:rsidRDefault="00D90582" w:rsidP="00D9058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441D75">
        <w:rPr>
          <w:rFonts w:ascii="Arial" w:hAnsi="Arial" w:cs="Arial"/>
          <w:sz w:val="24"/>
          <w:szCs w:val="24"/>
        </w:rPr>
        <w:t>WFU AAUP is very concerned about the salaries of teaching professionals</w:t>
      </w:r>
      <w:r>
        <w:rPr>
          <w:rFonts w:ascii="Arial" w:hAnsi="Arial" w:cs="Arial"/>
          <w:sz w:val="24"/>
          <w:szCs w:val="24"/>
        </w:rPr>
        <w:t>. Good</w:t>
      </w:r>
      <w:r w:rsidRPr="00441D75">
        <w:rPr>
          <w:rFonts w:ascii="Arial" w:hAnsi="Arial" w:cs="Arial"/>
          <w:sz w:val="24"/>
          <w:szCs w:val="24"/>
        </w:rPr>
        <w:t xml:space="preserve"> data </w:t>
      </w:r>
      <w:r>
        <w:rPr>
          <w:rFonts w:ascii="Arial" w:hAnsi="Arial" w:cs="Arial"/>
          <w:sz w:val="24"/>
          <w:szCs w:val="24"/>
        </w:rPr>
        <w:t xml:space="preserve">on teaching professionals’ salaries </w:t>
      </w:r>
      <w:r w:rsidRPr="00441D75">
        <w:rPr>
          <w:rFonts w:ascii="Arial" w:hAnsi="Arial" w:cs="Arial"/>
          <w:sz w:val="24"/>
          <w:szCs w:val="24"/>
        </w:rPr>
        <w:t xml:space="preserve">is not available </w:t>
      </w:r>
      <w:r>
        <w:rPr>
          <w:rFonts w:ascii="Arial" w:hAnsi="Arial" w:cs="Arial"/>
          <w:sz w:val="24"/>
          <w:szCs w:val="24"/>
        </w:rPr>
        <w:t xml:space="preserve">in the AAUP annual faculty compensation survey.   </w:t>
      </w:r>
    </w:p>
    <w:p w:rsidR="00D90582" w:rsidRDefault="00D90582" w:rsidP="00D90582">
      <w:pPr>
        <w:rPr>
          <w:rFonts w:ascii="Arial" w:hAnsi="Arial" w:cs="Arial"/>
          <w:sz w:val="24"/>
          <w:szCs w:val="24"/>
        </w:rPr>
      </w:pPr>
    </w:p>
    <w:p w:rsidR="00D90582" w:rsidRDefault="00D90582" w:rsidP="00D9058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2515">
        <w:rPr>
          <w:rFonts w:ascii="Arial" w:hAnsi="Arial" w:cs="Arial"/>
          <w:b/>
          <w:sz w:val="24"/>
          <w:szCs w:val="24"/>
        </w:rPr>
        <w:t xml:space="preserve">Table 1 shows that the purchasing power of Wake Forest College </w:t>
      </w:r>
      <w:r>
        <w:rPr>
          <w:rFonts w:ascii="Arial" w:hAnsi="Arial" w:cs="Arial"/>
          <w:b/>
          <w:sz w:val="24"/>
          <w:szCs w:val="24"/>
        </w:rPr>
        <w:t>P</w:t>
      </w:r>
      <w:r w:rsidRPr="00FA2515">
        <w:rPr>
          <w:rFonts w:ascii="Arial" w:hAnsi="Arial" w:cs="Arial"/>
          <w:b/>
          <w:sz w:val="24"/>
          <w:szCs w:val="24"/>
        </w:rPr>
        <w:t>rofessors’ salar</w:t>
      </w:r>
      <w:r>
        <w:rPr>
          <w:rFonts w:ascii="Arial" w:hAnsi="Arial" w:cs="Arial"/>
          <w:b/>
          <w:sz w:val="24"/>
          <w:szCs w:val="24"/>
        </w:rPr>
        <w:t>y</w:t>
      </w:r>
      <w:r w:rsidRPr="00FA2515">
        <w:rPr>
          <w:rFonts w:ascii="Arial" w:hAnsi="Arial" w:cs="Arial"/>
          <w:b/>
          <w:sz w:val="24"/>
          <w:szCs w:val="24"/>
        </w:rPr>
        <w:t xml:space="preserve"> increased by 3</w:t>
      </w:r>
      <w:r>
        <w:rPr>
          <w:rFonts w:ascii="Arial" w:hAnsi="Arial" w:cs="Arial"/>
          <w:b/>
          <w:sz w:val="24"/>
          <w:szCs w:val="24"/>
        </w:rPr>
        <w:t>.46 percent</w:t>
      </w:r>
      <w:r w:rsidRPr="00FA2515">
        <w:rPr>
          <w:rFonts w:ascii="Arial" w:hAnsi="Arial" w:cs="Arial"/>
          <w:b/>
          <w:sz w:val="24"/>
          <w:szCs w:val="24"/>
        </w:rPr>
        <w:t xml:space="preserve"> between July 201</w:t>
      </w:r>
      <w:r>
        <w:rPr>
          <w:rFonts w:ascii="Arial" w:hAnsi="Arial" w:cs="Arial"/>
          <w:b/>
          <w:sz w:val="24"/>
          <w:szCs w:val="24"/>
        </w:rPr>
        <w:t>1</w:t>
      </w:r>
      <w:r w:rsidRPr="00FA2515">
        <w:rPr>
          <w:rFonts w:ascii="Arial" w:hAnsi="Arial" w:cs="Arial"/>
          <w:b/>
          <w:sz w:val="24"/>
          <w:szCs w:val="24"/>
        </w:rPr>
        <w:t xml:space="preserve"> and July 201</w:t>
      </w:r>
      <w:r>
        <w:rPr>
          <w:rFonts w:ascii="Arial" w:hAnsi="Arial" w:cs="Arial"/>
          <w:b/>
          <w:sz w:val="24"/>
          <w:szCs w:val="24"/>
        </w:rPr>
        <w:t>6</w:t>
      </w:r>
      <w:r w:rsidRPr="00FA2515">
        <w:rPr>
          <w:rFonts w:ascii="Arial" w:hAnsi="Arial" w:cs="Arial"/>
          <w:b/>
          <w:sz w:val="24"/>
          <w:szCs w:val="24"/>
        </w:rPr>
        <w:t xml:space="preserve">.  Purchasing power of Wake Forest College </w:t>
      </w:r>
      <w:r>
        <w:rPr>
          <w:rFonts w:ascii="Arial" w:hAnsi="Arial" w:cs="Arial"/>
          <w:b/>
          <w:sz w:val="24"/>
          <w:szCs w:val="24"/>
        </w:rPr>
        <w:t>A</w:t>
      </w:r>
      <w:r w:rsidRPr="00FA251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sociate and Assis</w:t>
      </w:r>
      <w:r w:rsidRPr="00FA2515">
        <w:rPr>
          <w:rFonts w:ascii="Arial" w:hAnsi="Arial" w:cs="Arial"/>
          <w:b/>
          <w:sz w:val="24"/>
          <w:szCs w:val="24"/>
        </w:rPr>
        <w:t xml:space="preserve">tant </w:t>
      </w:r>
      <w:r>
        <w:rPr>
          <w:rFonts w:ascii="Arial" w:hAnsi="Arial" w:cs="Arial"/>
          <w:b/>
          <w:sz w:val="24"/>
          <w:szCs w:val="24"/>
        </w:rPr>
        <w:t>P</w:t>
      </w:r>
      <w:r w:rsidRPr="00FA2515">
        <w:rPr>
          <w:rFonts w:ascii="Arial" w:hAnsi="Arial" w:cs="Arial"/>
          <w:b/>
          <w:sz w:val="24"/>
          <w:szCs w:val="24"/>
        </w:rPr>
        <w:t>rofessors</w:t>
      </w:r>
      <w:r>
        <w:rPr>
          <w:rFonts w:ascii="Arial" w:hAnsi="Arial" w:cs="Arial"/>
          <w:b/>
          <w:sz w:val="24"/>
          <w:szCs w:val="24"/>
        </w:rPr>
        <w:t>’ salar</w:t>
      </w:r>
      <w:r w:rsidRPr="00FA2515">
        <w:rPr>
          <w:rFonts w:ascii="Arial" w:hAnsi="Arial" w:cs="Arial"/>
          <w:b/>
          <w:sz w:val="24"/>
          <w:szCs w:val="24"/>
        </w:rPr>
        <w:t>ies declined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2515">
        <w:rPr>
          <w:rFonts w:ascii="Arial" w:hAnsi="Arial" w:cs="Arial"/>
          <w:b/>
          <w:sz w:val="24"/>
          <w:szCs w:val="24"/>
        </w:rPr>
        <w:t>in that five- year period</w:t>
      </w:r>
      <w:r>
        <w:rPr>
          <w:rFonts w:ascii="Arial" w:hAnsi="Arial" w:cs="Arial"/>
          <w:b/>
          <w:sz w:val="24"/>
          <w:szCs w:val="24"/>
        </w:rPr>
        <w:t xml:space="preserve"> by 1.43 percent and .27 percent, respectively</w:t>
      </w:r>
      <w:r w:rsidRPr="00FA2515">
        <w:rPr>
          <w:rFonts w:ascii="Arial" w:hAnsi="Arial" w:cs="Arial"/>
          <w:b/>
          <w:sz w:val="24"/>
          <w:szCs w:val="24"/>
        </w:rPr>
        <w:t>.</w:t>
      </w:r>
    </w:p>
    <w:p w:rsidR="00D90582" w:rsidRPr="00FA2515" w:rsidRDefault="00D90582" w:rsidP="00D9058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90582" w:rsidRDefault="00D90582" w:rsidP="00D90582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1 shows that </w:t>
      </w:r>
      <w:r w:rsidRPr="00D54E8E">
        <w:rPr>
          <w:rFonts w:ascii="Arial" w:hAnsi="Arial" w:cs="Arial"/>
          <w:b/>
          <w:sz w:val="24"/>
          <w:szCs w:val="24"/>
        </w:rPr>
        <w:t>between July 201</w:t>
      </w:r>
      <w:r>
        <w:rPr>
          <w:rFonts w:ascii="Arial" w:hAnsi="Arial" w:cs="Arial"/>
          <w:b/>
          <w:sz w:val="24"/>
          <w:szCs w:val="24"/>
        </w:rPr>
        <w:t>1</w:t>
      </w:r>
      <w:r w:rsidRPr="00D54E8E">
        <w:rPr>
          <w:rFonts w:ascii="Arial" w:hAnsi="Arial" w:cs="Arial"/>
          <w:b/>
          <w:sz w:val="24"/>
          <w:szCs w:val="24"/>
        </w:rPr>
        <w:t xml:space="preserve"> and July 201</w:t>
      </w:r>
      <w:r>
        <w:rPr>
          <w:rFonts w:ascii="Arial" w:hAnsi="Arial" w:cs="Arial"/>
          <w:b/>
          <w:sz w:val="24"/>
          <w:szCs w:val="24"/>
        </w:rPr>
        <w:t>6, the CPI increase was 6.51 percent, Wake Forest College Professors’ salary increase was 9.97 percent; Associate Professors’ salary increase was 5.08 percent; and, Assistant Professors’ salary increase was 6.24 percent.</w:t>
      </w:r>
    </w:p>
    <w:p w:rsidR="00D90582" w:rsidRPr="00D54E8E" w:rsidRDefault="00D90582" w:rsidP="00D9058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90582" w:rsidRDefault="00D90582" w:rsidP="00D90582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2 shows that compared to Professors at cross-admit universities, the change in salary between 2011-12 and 2016-17 at Wake Forest University was less than the change for all cross-admits with the exception of UNC-CH.  Currently the mean of Professors’ salaries excluding WFU is $161,300. WFU’s current Professor salary is $149,300.  The mean of the cross-admits’ Associate Professor salaries is $110,400; $98,500 at WFU.  The mean of the cross-admits’ Assistant Professor salaries is $92,000; $77,900 at WFU. </w:t>
      </w:r>
    </w:p>
    <w:p w:rsidR="00D90582" w:rsidRPr="00D729BC" w:rsidRDefault="00D90582" w:rsidP="00D9058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90582" w:rsidRDefault="00D90582" w:rsidP="00D90582">
      <w:pPr>
        <w:pStyle w:val="ListParagraph"/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Currently the median Professor salary of the nine cross-admits is $157,400; the salary is $149,300 at WFU. The median Associate Professor salary of the cross-admits is $105,700; the salary is $98,500 at WFU. The median Assistant Professor salary of the cross-admits is $91,200; the salary is $77,900 at WFU.   </w:t>
      </w:r>
    </w:p>
    <w:p w:rsidR="00D90582" w:rsidRDefault="00D90582" w:rsidP="00D90582">
      <w:pPr>
        <w:pStyle w:val="ListParagraph"/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D90582" w:rsidRPr="005C6DB3" w:rsidRDefault="00D90582" w:rsidP="00D90582">
      <w:pPr>
        <w:pStyle w:val="ListParagraph"/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5C6DB3">
        <w:rPr>
          <w:rFonts w:ascii="Arial" w:hAnsi="Arial" w:cs="Arial"/>
          <w:b/>
          <w:sz w:val="24"/>
          <w:szCs w:val="24"/>
        </w:rPr>
        <w:t xml:space="preserve">Wake Forest University faculty salaries have lost significant ground with respect to the </w:t>
      </w:r>
      <w:r>
        <w:rPr>
          <w:rFonts w:ascii="Arial" w:hAnsi="Arial" w:cs="Arial"/>
          <w:b/>
          <w:sz w:val="24"/>
          <w:szCs w:val="24"/>
        </w:rPr>
        <w:t xml:space="preserve">mean and the median salaries of the </w:t>
      </w:r>
      <w:r w:rsidRPr="005C6DB3">
        <w:rPr>
          <w:rFonts w:ascii="Arial" w:hAnsi="Arial" w:cs="Arial"/>
          <w:b/>
          <w:sz w:val="24"/>
          <w:szCs w:val="24"/>
        </w:rPr>
        <w:t xml:space="preserve">cross-admit universities. In addition, benefits as a percent of salary </w:t>
      </w:r>
      <w:r>
        <w:rPr>
          <w:rFonts w:ascii="Arial" w:hAnsi="Arial" w:cs="Arial"/>
          <w:b/>
          <w:sz w:val="24"/>
          <w:szCs w:val="24"/>
        </w:rPr>
        <w:t>at Wake Forest do not compensate for the lower salaries</w:t>
      </w:r>
      <w:r w:rsidRPr="005C6DB3">
        <w:rPr>
          <w:rFonts w:ascii="Arial" w:hAnsi="Arial" w:cs="Arial"/>
          <w:b/>
          <w:sz w:val="24"/>
          <w:szCs w:val="24"/>
        </w:rPr>
        <w:t>.</w:t>
      </w:r>
    </w:p>
    <w:p w:rsidR="00D90582" w:rsidRDefault="00D90582" w:rsidP="00D9058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90582" w:rsidRPr="009843BC" w:rsidRDefault="00D90582" w:rsidP="00D9058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last table, from the Office of Institutional Research, includes unadjusted and COL- adjusted salary data from 2015-16 and 2016-17.  Continuing the trend noted above, in the last two years the purchasing power of Wake Forest University salaries lags behind both the median and mean of the cross-admits (no data for Emory).  Purchasing power of WFU Professors’ salaries has increased by 2.5 percent compared to a 2.9 percent median increase, and a 3.4 percent mean increase, at the cross-admits.  Purchasing power of WFU Associate Professors’ salaries has declined by .2 percent compared to a 3.2 percent median increase, and a 2.7 percent mean increase, at the cross-admits.</w:t>
      </w:r>
      <w:r w:rsidRPr="000B24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Purchasing power of WFU Assistant Professors’ salaries has declined by 3.9 percent compared to a 3.4 percent median increase, and a 4.0 percent mean increase, at the cross-admits.    </w:t>
      </w:r>
    </w:p>
    <w:p w:rsidR="00D90582" w:rsidRPr="00D54E8E" w:rsidRDefault="00D90582" w:rsidP="00D90582">
      <w:pPr>
        <w:pStyle w:val="ListParagraph"/>
        <w:rPr>
          <w:rFonts w:ascii="Arial" w:hAnsi="Arial" w:cs="Arial"/>
          <w:b/>
          <w:sz w:val="24"/>
          <w:szCs w:val="24"/>
        </w:rPr>
      </w:pPr>
      <w:r w:rsidRPr="00D54E8E">
        <w:rPr>
          <w:rFonts w:ascii="Arial" w:hAnsi="Arial" w:cs="Arial"/>
          <w:b/>
          <w:sz w:val="24"/>
          <w:szCs w:val="24"/>
        </w:rPr>
        <w:t xml:space="preserve">   </w:t>
      </w:r>
    </w:p>
    <w:p w:rsidR="00D90582" w:rsidRDefault="00D90582" w:rsidP="00D90582">
      <w:pPr>
        <w:rPr>
          <w:rFonts w:ascii="Arial" w:hAnsi="Arial" w:cs="Arial"/>
          <w:b/>
          <w:sz w:val="24"/>
          <w:szCs w:val="24"/>
        </w:rPr>
      </w:pPr>
    </w:p>
    <w:p w:rsidR="00D90582" w:rsidRDefault="00D90582" w:rsidP="00D90582">
      <w:pPr>
        <w:rPr>
          <w:rFonts w:ascii="Arial" w:hAnsi="Arial" w:cs="Arial"/>
          <w:b/>
          <w:sz w:val="24"/>
          <w:szCs w:val="24"/>
        </w:rPr>
      </w:pPr>
    </w:p>
    <w:p w:rsidR="00D90582" w:rsidRDefault="00D90582" w:rsidP="00D90582">
      <w:pPr>
        <w:rPr>
          <w:rFonts w:ascii="Arial" w:hAnsi="Arial" w:cs="Arial"/>
          <w:b/>
          <w:sz w:val="24"/>
          <w:szCs w:val="24"/>
        </w:rPr>
      </w:pPr>
    </w:p>
    <w:p w:rsidR="00D90582" w:rsidRDefault="00D90582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  <w:r w:rsidRPr="00981021">
        <w:drawing>
          <wp:inline distT="0" distB="0" distL="0" distR="0">
            <wp:extent cx="5943600" cy="447181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  <w:r w:rsidRPr="00981021">
        <w:lastRenderedPageBreak/>
        <w:drawing>
          <wp:inline distT="0" distB="0" distL="0" distR="0">
            <wp:extent cx="5943600" cy="477629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943600" cy="4553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Tab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981021" w:rsidRDefault="00981021" w:rsidP="00D90582">
      <w:pPr>
        <w:rPr>
          <w:rFonts w:ascii="Arial" w:hAnsi="Arial" w:cs="Arial"/>
          <w:b/>
          <w:sz w:val="24"/>
          <w:szCs w:val="24"/>
        </w:rPr>
      </w:pPr>
    </w:p>
    <w:p w:rsidR="00D90582" w:rsidRDefault="00D90582" w:rsidP="00D90582">
      <w:pPr>
        <w:rPr>
          <w:rFonts w:ascii="Arial" w:hAnsi="Arial" w:cs="Arial"/>
          <w:b/>
          <w:sz w:val="24"/>
          <w:szCs w:val="24"/>
        </w:rPr>
      </w:pPr>
    </w:p>
    <w:p w:rsidR="00A944E5" w:rsidRDefault="00A944E5" w:rsidP="00D90582">
      <w:pPr>
        <w:rPr>
          <w:rFonts w:ascii="Arial" w:hAnsi="Arial" w:cs="Arial"/>
          <w:b/>
          <w:sz w:val="24"/>
          <w:szCs w:val="24"/>
        </w:rPr>
      </w:pPr>
    </w:p>
    <w:p w:rsidR="00A944E5" w:rsidRDefault="00A944E5" w:rsidP="00D90582">
      <w:pPr>
        <w:rPr>
          <w:rFonts w:ascii="Arial" w:hAnsi="Arial" w:cs="Arial"/>
          <w:b/>
          <w:sz w:val="24"/>
          <w:szCs w:val="24"/>
        </w:rPr>
      </w:pPr>
    </w:p>
    <w:tbl>
      <w:tblPr>
        <w:tblW w:w="21637" w:type="dxa"/>
        <w:tblLook w:val="04A0" w:firstRow="1" w:lastRow="0" w:firstColumn="1" w:lastColumn="0" w:noHBand="0" w:noVBand="1"/>
      </w:tblPr>
      <w:tblGrid>
        <w:gridCol w:w="1944"/>
        <w:gridCol w:w="222"/>
        <w:gridCol w:w="934"/>
        <w:gridCol w:w="935"/>
        <w:gridCol w:w="12217"/>
        <w:gridCol w:w="1687"/>
        <w:gridCol w:w="1944"/>
        <w:gridCol w:w="1760"/>
      </w:tblGrid>
      <w:tr w:rsidR="00A944E5" w:rsidTr="00981021">
        <w:trPr>
          <w:trHeight w:val="30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5" w:rsidRDefault="00A944E5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5" w:rsidRDefault="00A944E5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5" w:rsidRDefault="00A944E5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5" w:rsidRDefault="00A944E5">
            <w:pPr>
              <w:rPr>
                <w:sz w:val="20"/>
                <w:szCs w:val="20"/>
              </w:rPr>
            </w:pPr>
          </w:p>
        </w:tc>
        <w:tc>
          <w:tcPr>
            <w:tcW w:w="1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5" w:rsidRDefault="00A944E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5" w:rsidRDefault="00A944E5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5" w:rsidRDefault="00A944E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5" w:rsidRDefault="00A944E5">
            <w:pPr>
              <w:rPr>
                <w:sz w:val="20"/>
                <w:szCs w:val="20"/>
              </w:rPr>
            </w:pPr>
          </w:p>
        </w:tc>
      </w:tr>
      <w:tr w:rsidR="00A944E5" w:rsidTr="00981021">
        <w:trPr>
          <w:trHeight w:val="30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5" w:rsidRDefault="00A944E5">
            <w:pPr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5" w:rsidRDefault="00A944E5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5" w:rsidRDefault="00A944E5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5" w:rsidRDefault="00A944E5">
            <w:pPr>
              <w:rPr>
                <w:sz w:val="20"/>
                <w:szCs w:val="20"/>
              </w:rPr>
            </w:pPr>
          </w:p>
        </w:tc>
        <w:tc>
          <w:tcPr>
            <w:tcW w:w="1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5" w:rsidRDefault="00A944E5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5" w:rsidRDefault="00A944E5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5" w:rsidRDefault="00A944E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4E5" w:rsidRDefault="00A944E5">
            <w:pPr>
              <w:rPr>
                <w:sz w:val="20"/>
                <w:szCs w:val="20"/>
              </w:rPr>
            </w:pPr>
          </w:p>
        </w:tc>
      </w:tr>
    </w:tbl>
    <w:p w:rsidR="00D90582" w:rsidRPr="00D54E8E" w:rsidRDefault="00D90582" w:rsidP="00D90582">
      <w:pPr>
        <w:rPr>
          <w:rFonts w:ascii="Arial" w:hAnsi="Arial" w:cs="Arial"/>
          <w:b/>
          <w:sz w:val="24"/>
          <w:szCs w:val="24"/>
        </w:rPr>
      </w:pPr>
    </w:p>
    <w:sectPr w:rsidR="00D90582" w:rsidRPr="00D54E8E" w:rsidSect="002C1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691D"/>
    <w:multiLevelType w:val="hybridMultilevel"/>
    <w:tmpl w:val="12BA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82"/>
    <w:rsid w:val="002C1FD8"/>
    <w:rsid w:val="005E4B99"/>
    <w:rsid w:val="008B768C"/>
    <w:rsid w:val="00981021"/>
    <w:rsid w:val="00A252F1"/>
    <w:rsid w:val="00A51B68"/>
    <w:rsid w:val="00A944E5"/>
    <w:rsid w:val="00D9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CBDF"/>
  <w15:chartTrackingRefBased/>
  <w15:docId w15:val="{0B3DD67A-A751-4D62-AAD8-AA2BCF9C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Albrecht, Jane</dc:creator>
  <cp:keywords/>
  <dc:description/>
  <cp:lastModifiedBy>Albrecht, Jane</cp:lastModifiedBy>
  <cp:revision>5</cp:revision>
  <dcterms:created xsi:type="dcterms:W3CDTF">2018-10-05T20:19:00Z</dcterms:created>
  <dcterms:modified xsi:type="dcterms:W3CDTF">2018-10-05T20:45:00Z</dcterms:modified>
</cp:coreProperties>
</file>